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71B" w:rsidRPr="0097249C" w:rsidRDefault="0062371B">
      <w:pPr>
        <w:rPr>
          <w:rFonts w:ascii="Tahoma" w:hAnsi="Tahoma" w:cs="Tahoma"/>
          <w:sz w:val="20"/>
          <w:szCs w:val="20"/>
        </w:rPr>
      </w:pPr>
      <w:bookmarkStart w:id="0" w:name="_GoBack"/>
      <w:bookmarkEnd w:id="0"/>
    </w:p>
    <w:p w:rsidR="0062371B" w:rsidRPr="000355A8" w:rsidRDefault="0062371B">
      <w:pPr>
        <w:jc w:val="center"/>
        <w:rPr>
          <w:rFonts w:ascii="Tahoma" w:hAnsi="Tahoma" w:cs="Tahoma"/>
          <w:b/>
          <w:szCs w:val="22"/>
        </w:rPr>
      </w:pPr>
      <w:r w:rsidRPr="000355A8">
        <w:rPr>
          <w:rFonts w:ascii="Tahoma" w:hAnsi="Tahoma" w:cs="Tahoma"/>
          <w:b/>
          <w:szCs w:val="22"/>
        </w:rPr>
        <w:t>ΠΑΡΑΡΤΗΜΑ ΙΙ</w:t>
      </w:r>
    </w:p>
    <w:p w:rsidR="00BB553A" w:rsidRPr="0097249C" w:rsidRDefault="00BB553A">
      <w:pPr>
        <w:jc w:val="center"/>
        <w:rPr>
          <w:rFonts w:ascii="Tahoma" w:hAnsi="Tahoma" w:cs="Tahoma"/>
          <w:b/>
          <w:sz w:val="20"/>
          <w:szCs w:val="20"/>
        </w:rPr>
      </w:pPr>
    </w:p>
    <w:p w:rsidR="0062371B" w:rsidRPr="0097249C" w:rsidRDefault="0062371B">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rsidR="0062371B" w:rsidRPr="0097249C" w:rsidRDefault="0062371B">
      <w:pPr>
        <w:rPr>
          <w:rFonts w:ascii="Tahoma" w:hAnsi="Tahoma" w:cs="Tahoma"/>
          <w:b/>
          <w:sz w:val="20"/>
          <w:szCs w:val="20"/>
        </w:rPr>
      </w:pPr>
    </w:p>
    <w:p w:rsidR="0062371B" w:rsidRPr="0097249C" w:rsidRDefault="0062371B" w:rsidP="00BB553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 ΑμεΑ.</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rsidR="0062371B" w:rsidRPr="0097249C" w:rsidRDefault="0062371B">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 xml:space="preserve">(Α) Πρόσβαση στο φυσικό περιβάλλον και τους εξωτερικούς χώρους συμπεριλαμβ. αρχαιολογικών χώρων, παραλιών, χώρων πρασίνου, αλσών κ.λπ. </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ind w:left="357" w:hanging="357"/>
        <w:rPr>
          <w:rFonts w:ascii="Tahoma" w:hAnsi="Tahoma" w:cs="Tahoma"/>
          <w:sz w:val="20"/>
          <w:szCs w:val="20"/>
        </w:rPr>
      </w:pPr>
      <w:r w:rsidRPr="0097249C">
        <w:rPr>
          <w:rFonts w:ascii="Tahoma" w:hAnsi="Tahoma" w:cs="Tahoma"/>
          <w:sz w:val="20"/>
          <w:szCs w:val="20"/>
        </w:rPr>
        <w:t>πρόβλεψη προσβάσιμων εξοπλισμών για χρήση κοινού (π.χ. παιδικές χαρές, καθιστικά, εξοπλισμοί παραλιών, αποδυτήρια, χώροι υγιεινής, παρατηρητήρια πουλιών κ.λπ.)</w:t>
      </w:r>
    </w:p>
    <w:p w:rsidR="0062371B" w:rsidRPr="0097249C" w:rsidRDefault="0062371B" w:rsidP="005C7287">
      <w:pPr>
        <w:numPr>
          <w:ilvl w:val="0"/>
          <w:numId w:val="11"/>
        </w:numPr>
        <w:pBdr>
          <w:top w:val="single" w:sz="4" w:space="1" w:color="000000"/>
          <w:left w:val="single" w:sz="4" w:space="4" w:color="000000"/>
          <w:bottom w:val="single" w:sz="4" w:space="1" w:color="000000"/>
          <w:right w:val="single" w:sz="4" w:space="4" w:color="000000"/>
        </w:pBdr>
        <w:spacing w:after="240"/>
        <w:ind w:left="357" w:hanging="357"/>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rsidR="0062371B" w:rsidRPr="0097249C" w:rsidRDefault="0062371B"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 xml:space="preserve">πρόβλεψη χώρων αναμονής σε περίπτωση κινδύνου    </w:t>
      </w:r>
    </w:p>
    <w:p w:rsidR="0062371B" w:rsidRPr="0097249C" w:rsidRDefault="00FB4E5F" w:rsidP="00FB4E5F">
      <w:pPr>
        <w:pBdr>
          <w:top w:val="single" w:sz="4" w:space="1" w:color="000000"/>
          <w:left w:val="single" w:sz="4" w:space="4" w:color="000000"/>
          <w:bottom w:val="single" w:sz="4" w:space="1" w:color="000000"/>
          <w:right w:val="single" w:sz="4" w:space="4" w:color="000000"/>
        </w:pBdr>
        <w:ind w:left="426" w:hanging="426"/>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(υπηρεσία εξυπηρέτησης ΑμεΑ και ατόμων μειωμένης κινητικότητας, διαδικασίες έκδοσης εισιτηρίων, διαδικασίες εκτάκτων αναγκών κ.λπ.)</w:t>
      </w: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w:t>
      </w:r>
      <w:r w:rsidRPr="0097249C">
        <w:rPr>
          <w:rFonts w:ascii="Tahoma" w:hAnsi="Tahoma" w:cs="Tahoma"/>
          <w:sz w:val="20"/>
          <w:szCs w:val="20"/>
          <w:shd w:val="clear" w:color="auto" w:fill="FFFFFF"/>
        </w:rPr>
        <w:lastRenderedPageBreak/>
        <w:t xml:space="preserve">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 πρόβλεψη ‘ζωντανής βοήθειας και ενδιαμέσων’ (πχ. διερμηνείας στη νοηματική, συνοδείας τυφλών ατόμων κ.λπ.)</w:t>
      </w:r>
    </w:p>
    <w:p w:rsidR="0062371B" w:rsidRPr="0097249C" w:rsidRDefault="0062371B" w:rsidP="005C7287">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rsidR="0062371B" w:rsidRPr="0097249C" w:rsidRDefault="0062371B">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rsidR="0062371B" w:rsidRPr="0097249C" w:rsidRDefault="0062371B">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συμμόρφωση των διαδικτυακών τόπων και των διαδικτυακών εφαρμογών και υπηρεσιών με τις Οδηγίες για την Προσβασιμότητα του Περιεχομένου του Ιστού, έκδοση 2.0 (Web Content Accessibility Guidelines 2.0) του διεθνή oργανισμού World Wide Web Consortium (W3C), κατ’ ελάχιστο στο μεσαίο επίπεδο προσβασιμότητας “ΑΑ”, ενώ συνίσταται η συμμόρφωση στο ανώτατο επίπεδο προσβασιμότητας “ΑΑΑ”</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στην περίπτωση διαδικτυακών τόπων ή των διαδικτυακών εφαρμογών και υπηρεσιών που προορίζονται για χρήση κυρίως μέσω κινητών και </w:t>
      </w:r>
      <w:r w:rsidR="00A93B86" w:rsidRPr="0097249C">
        <w:rPr>
          <w:rFonts w:ascii="Tahoma" w:hAnsi="Tahoma" w:cs="Tahoma"/>
          <w:sz w:val="20"/>
          <w:szCs w:val="20"/>
        </w:rPr>
        <w:t>φορητών</w:t>
      </w:r>
      <w:r w:rsidRPr="0097249C">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σε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(4) σε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(5) σε περίπτωση τεχνολογικών λύσεων και προϊόντων που δεν εμπίπτουν στην κατηγορία διαδικτυακών τόπων ή διαδικτυακών εφαρμογών και υπηρεσιών (π.χ. αυτόματοι πωλητές, κιόσκια πληροφόρησης κ.λπ.) είναι απαραίτητη η σχεδίασή τους βάσει των αρχών του «Καθολικού Σχεδιασμού»</w:t>
      </w:r>
    </w:p>
    <w:p w:rsidR="00B170DB" w:rsidRPr="0097249C" w:rsidRDefault="00B170DB" w:rsidP="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(π.χ. αναγνώστες οθόνης, ειδικοί διακόπτες και συστήματα αλληλεπίδρασης, μεγεθυντές οθόνης).</w:t>
      </w:r>
    </w:p>
    <w:p w:rsidR="00B170DB" w:rsidRPr="0097249C" w:rsidRDefault="00B170DB">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0C10C9" w:rsidRPr="0097249C" w:rsidRDefault="001B3188"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πληροφορία-Π</w:t>
      </w:r>
      <w:r w:rsidR="000C10C9" w:rsidRPr="0097249C">
        <w:rPr>
          <w:rFonts w:ascii="Tahoma" w:hAnsi="Tahoma" w:cs="Tahoma"/>
          <w:sz w:val="20"/>
          <w:szCs w:val="20"/>
        </w:rPr>
        <w:t xml:space="preserve">ληροφόρηση </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κ.λπ.)</w:t>
      </w:r>
    </w:p>
    <w:p w:rsidR="000C10C9" w:rsidRPr="0097249C" w:rsidRDefault="000C10C9" w:rsidP="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διερμηνείας στη νοηματική κ.λπ.)</w:t>
      </w:r>
    </w:p>
    <w:p w:rsidR="000C10C9" w:rsidRPr="0097249C" w:rsidRDefault="000C10C9">
      <w:pPr>
        <w:pBdr>
          <w:top w:val="single" w:sz="4" w:space="1" w:color="000000"/>
          <w:left w:val="single" w:sz="4" w:space="4" w:color="000000"/>
          <w:bottom w:val="single" w:sz="4" w:space="1" w:color="000000"/>
          <w:right w:val="single" w:sz="4" w:space="4" w:color="000000"/>
        </w:pBdr>
        <w:rPr>
          <w:rFonts w:ascii="Tahoma" w:hAnsi="Tahoma" w:cs="Tahoma"/>
          <w:sz w:val="20"/>
          <w:szCs w:val="20"/>
        </w:rPr>
      </w:pPr>
    </w:p>
    <w:p w:rsidR="0062371B" w:rsidRPr="0097249C" w:rsidRDefault="0062371B">
      <w:pPr>
        <w:rPr>
          <w:rFonts w:ascii="Tahoma" w:hAnsi="Tahoma" w:cs="Tahoma"/>
          <w:b/>
          <w:sz w:val="20"/>
          <w:szCs w:val="20"/>
        </w:rPr>
      </w:pPr>
    </w:p>
    <w:p w:rsidR="0062371B" w:rsidRPr="0097249C" w:rsidRDefault="0062371B">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Σχετικό θεσμικό πλαίσιο και πρότυπα  για την προσβασιμότητα σε ΑμεΑ</w:t>
      </w:r>
    </w:p>
    <w:p w:rsidR="0062371B" w:rsidRPr="0097249C" w:rsidRDefault="0062371B">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rsidR="0062371B" w:rsidRPr="0097249C" w:rsidRDefault="0062371B">
      <w:pPr>
        <w:rPr>
          <w:rFonts w:ascii="Tahoma" w:hAnsi="Tahoma" w:cs="Tahoma"/>
          <w:sz w:val="20"/>
          <w:szCs w:val="20"/>
          <w:shd w:val="clear" w:color="auto" w:fill="FFFFFF"/>
        </w:rPr>
      </w:pPr>
    </w:p>
    <w:p w:rsidR="0062371B" w:rsidRPr="0097249C" w:rsidRDefault="0062371B">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rsidR="0062371B" w:rsidRPr="0097249C" w:rsidRDefault="0062371B" w:rsidP="00D361BA">
      <w:pPr>
        <w:ind w:left="720"/>
        <w:rPr>
          <w:rFonts w:ascii="Tahoma" w:hAnsi="Tahoma" w:cs="Tahoma"/>
          <w:i/>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rsidP="00D361BA">
      <w:pPr>
        <w:autoSpaceDE w:val="0"/>
        <w:ind w:left="720"/>
        <w:rPr>
          <w:rFonts w:ascii="Tahoma" w:hAnsi="Tahoma" w:cs="Tahoma"/>
          <w:i/>
          <w:sz w:val="20"/>
          <w:szCs w:val="20"/>
          <w:shd w:val="clear" w:color="auto" w:fill="FFFF00"/>
        </w:rPr>
      </w:pPr>
      <w:r w:rsidRPr="0097249C">
        <w:rPr>
          <w:rFonts w:ascii="Tahoma" w:hAnsi="Tahoma" w:cs="Tahoma"/>
          <w:i/>
          <w:sz w:val="20"/>
          <w:szCs w:val="20"/>
        </w:rPr>
        <w:lastRenderedPageBreak/>
        <w:t xml:space="preserve">Α.2. Ν. 4067/2012 ΦΕΚ 79 Α’ “ΝΟΚ” </w:t>
      </w:r>
      <w:r w:rsidRPr="0097249C">
        <w:rPr>
          <w:rFonts w:ascii="Tahoma" w:hAnsi="Tahoma" w:cs="Tahoma"/>
          <w:sz w:val="20"/>
          <w:szCs w:val="20"/>
        </w:rPr>
        <w:t>και</w:t>
      </w:r>
      <w:r w:rsidR="00D361BA" w:rsidRPr="0097249C">
        <w:rPr>
          <w:rFonts w:ascii="Tahoma" w:hAnsi="Tahoma" w:cs="Tahoma"/>
          <w:sz w:val="20"/>
          <w:szCs w:val="20"/>
        </w:rPr>
        <w:t xml:space="preserve"> </w:t>
      </w:r>
      <w:r w:rsidRPr="0097249C">
        <w:rPr>
          <w:rFonts w:ascii="Tahoma" w:hAnsi="Tahoma" w:cs="Tahoma"/>
          <w:sz w:val="20"/>
          <w:szCs w:val="20"/>
        </w:rPr>
        <w:t xml:space="preserve"> </w:t>
      </w:r>
      <w:r w:rsidR="00D361BA" w:rsidRPr="0097249C">
        <w:rPr>
          <w:rFonts w:ascii="Tahoma" w:hAnsi="Tahoma" w:cs="Tahoma"/>
          <w:sz w:val="20"/>
          <w:szCs w:val="20"/>
        </w:rPr>
        <w:t xml:space="preserve">σχετικές εγκύκλιοι ΥΠΕΚΑ: Εγκύκλιος 9 με Α.Π.οικ.29467/13.06.2012 “Διευκρινίσεις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Ν.4067 (ΦΕΚ 79/Α/2012)”, Εγκύκλιος ΑμεΑ με Α.Π.οικ 42382/16.07.2013 “ Διευκρινίσεις για την εφαρμογή του άρθρου 26 του Νέου Οικοδομικού Κανονισμού (Ν.4067/2012), που αφορά στις ειδικές ρυθμίσεις για την προσβασιμότητα ΑμεΑ/εμποδιζόμενων ατόμων και Απόφαση ΥΠΕΚΑ με Αριθ. οικ. 55174/ΦΕΚ 2605 Β/ 15.10.2013 “Διαδικασία έγκρισης και απαιτούμενα δικαιολογητικά για εργασίες για τις οποίες απαιτείται Έγκριση Εργασιών Μικρής Κλίμακας.” </w:t>
      </w:r>
    </w:p>
    <w:p w:rsidR="0062371B" w:rsidRPr="0097249C" w:rsidRDefault="00D361BA">
      <w:pPr>
        <w:autoSpaceDE w:val="0"/>
        <w:ind w:left="720"/>
        <w:rPr>
          <w:rFonts w:ascii="Tahoma" w:hAnsi="Tahoma" w:cs="Tahoma"/>
          <w:i/>
          <w:sz w:val="20"/>
          <w:szCs w:val="20"/>
          <w:shd w:val="clear" w:color="auto" w:fill="FFFF00"/>
        </w:rPr>
      </w:pPr>
      <w:r w:rsidRPr="0097249C">
        <w:rPr>
          <w:rFonts w:ascii="Tahoma" w:hAnsi="Tahoma" w:cs="Tahoma"/>
          <w:i/>
          <w:sz w:val="20"/>
          <w:szCs w:val="20"/>
        </w:rPr>
        <w:t xml:space="preserve">Α.3. </w:t>
      </w:r>
      <w:r w:rsidR="0062371B" w:rsidRPr="0097249C">
        <w:rPr>
          <w:rFonts w:ascii="Tahoma" w:hAnsi="Tahoma" w:cs="Tahoma"/>
          <w:i/>
          <w:sz w:val="20"/>
          <w:szCs w:val="20"/>
        </w:rPr>
        <w:t>Οδηγίες Σχεδιασμού ΥΠΕΚΑ</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Α.4.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rsidR="0062371B" w:rsidRPr="0097249C" w:rsidRDefault="00D361BA">
      <w:pPr>
        <w:autoSpaceDE w:val="0"/>
        <w:ind w:left="720"/>
        <w:rPr>
          <w:rFonts w:ascii="Tahoma" w:eastAsia="Calibri" w:hAnsi="Tahoma" w:cs="Tahoma"/>
          <w:i/>
          <w:sz w:val="20"/>
          <w:szCs w:val="20"/>
          <w:shd w:val="clear" w:color="auto" w:fill="FFFF00"/>
        </w:rPr>
      </w:pPr>
      <w:r w:rsidRPr="0097249C">
        <w:rPr>
          <w:rFonts w:ascii="Tahoma" w:hAnsi="Tahoma" w:cs="Tahoma"/>
          <w:i/>
          <w:sz w:val="20"/>
          <w:szCs w:val="20"/>
        </w:rPr>
        <w:t>Α.5.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rsidR="0062371B" w:rsidRPr="0097249C" w:rsidRDefault="00D361BA">
      <w:pPr>
        <w:autoSpaceDE w:val="0"/>
        <w:spacing w:after="240"/>
        <w:ind w:left="720"/>
        <w:rPr>
          <w:rFonts w:ascii="Tahoma" w:hAnsi="Tahoma" w:cs="Tahoma"/>
          <w:sz w:val="20"/>
          <w:szCs w:val="20"/>
          <w:u w:val="single"/>
        </w:rPr>
      </w:pPr>
      <w:r w:rsidRPr="0097249C">
        <w:rPr>
          <w:rFonts w:ascii="Tahoma" w:hAnsi="Tahoma" w:cs="Tahoma"/>
          <w:i/>
          <w:sz w:val="20"/>
          <w:szCs w:val="20"/>
        </w:rPr>
        <w:t>Α.6.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rsidR="0062371B" w:rsidRPr="0097249C" w:rsidRDefault="0062371B">
      <w:pPr>
        <w:ind w:left="720"/>
        <w:rPr>
          <w:rFonts w:ascii="Tahoma" w:hAnsi="Tahoma" w:cs="Tahoma"/>
          <w:i/>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Β.2. Ν. 4067/2012 ΦΕΚ 79 Α’ “ΝΟΚ” και Οδηγίες Σχεδιασμού ΥΠΕΚΑ</w:t>
      </w:r>
    </w:p>
    <w:p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rsidR="0062371B" w:rsidRPr="0097249C" w:rsidRDefault="0062371B">
      <w:pPr>
        <w:ind w:left="720"/>
        <w:rPr>
          <w:rFonts w:ascii="Tahoma" w:hAnsi="Tahoma" w:cs="Tahoma"/>
          <w:i/>
          <w:sz w:val="20"/>
          <w:szCs w:val="20"/>
        </w:rPr>
      </w:pPr>
      <w:r w:rsidRPr="0097249C">
        <w:rPr>
          <w:rFonts w:ascii="Tahoma" w:hAnsi="Tahoma" w:cs="Tahoma"/>
          <w:i/>
          <w:sz w:val="20"/>
          <w:szCs w:val="20"/>
        </w:rPr>
        <w:t>Γ.1. Κανονισμοί (ΕΕ) με αρ. 1107/2006, 1371/2007, 1177/2010 και 181/2011 για τα δικαιώματα των επιβατών</w:t>
      </w:r>
    </w:p>
    <w:p w:rsidR="0062371B" w:rsidRPr="0097249C" w:rsidRDefault="0062371B">
      <w:pPr>
        <w:ind w:left="720"/>
        <w:rPr>
          <w:rFonts w:ascii="Tahoma" w:hAnsi="Tahoma" w:cs="Tahoma"/>
          <w:i/>
          <w:sz w:val="20"/>
          <w:szCs w:val="20"/>
        </w:rPr>
      </w:pPr>
      <w:r w:rsidRPr="0097249C">
        <w:rPr>
          <w:rFonts w:ascii="Tahoma" w:hAnsi="Tahoma" w:cs="Tahoma"/>
          <w:i/>
          <w:sz w:val="20"/>
          <w:szCs w:val="20"/>
        </w:rPr>
        <w:t xml:space="preserve">Γ.2.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rsidR="0062371B" w:rsidRPr="0097249C" w:rsidRDefault="0062371B">
      <w:pPr>
        <w:ind w:left="720"/>
        <w:rPr>
          <w:rFonts w:ascii="Tahoma" w:hAnsi="Tahoma" w:cs="Tahoma"/>
          <w:i/>
          <w:sz w:val="20"/>
          <w:szCs w:val="20"/>
        </w:rPr>
      </w:pPr>
      <w:r w:rsidRPr="0097249C">
        <w:rPr>
          <w:rFonts w:ascii="Tahoma" w:hAnsi="Tahoma" w:cs="Tahoma"/>
          <w:i/>
          <w:sz w:val="20"/>
          <w:szCs w:val="20"/>
        </w:rPr>
        <w:t>Γ.3.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i/>
          <w:sz w:val="20"/>
          <w:szCs w:val="20"/>
          <w:shd w:val="clear" w:color="auto" w:fill="FFFF00"/>
        </w:rPr>
      </w:pPr>
      <w:r w:rsidRPr="0097249C">
        <w:rPr>
          <w:rFonts w:ascii="Tahoma" w:hAnsi="Tahoma" w:cs="Tahoma"/>
          <w:i/>
          <w:sz w:val="20"/>
          <w:szCs w:val="20"/>
        </w:rPr>
        <w:t xml:space="preserve">Γ.4. Ν. 4067/2012 ΦΕΚ 79 Α’ “ΝΟΚ” </w:t>
      </w:r>
    </w:p>
    <w:p w:rsidR="0062371B" w:rsidRPr="0097249C" w:rsidRDefault="007B45BF">
      <w:pPr>
        <w:spacing w:after="240"/>
        <w:ind w:left="720"/>
        <w:rPr>
          <w:rFonts w:ascii="Tahoma" w:hAnsi="Tahoma" w:cs="Tahoma"/>
          <w:sz w:val="20"/>
          <w:szCs w:val="20"/>
          <w:u w:val="single"/>
        </w:rPr>
      </w:pPr>
      <w:r w:rsidRPr="0097249C">
        <w:rPr>
          <w:rFonts w:ascii="Tahoma" w:hAnsi="Tahoma" w:cs="Tahoma"/>
          <w:i/>
          <w:sz w:val="20"/>
          <w:szCs w:val="20"/>
        </w:rPr>
        <w:t>Γ.5.</w:t>
      </w:r>
      <w:r w:rsidR="0062371B" w:rsidRPr="0097249C">
        <w:rPr>
          <w:rFonts w:ascii="Tahoma" w:hAnsi="Tahoma" w:cs="Tahoma"/>
          <w:i/>
          <w:sz w:val="20"/>
          <w:szCs w:val="20"/>
        </w:rPr>
        <w:t xml:space="preserve"> Οδηγίες Σχεδιασμού ΥΠΕΚΑ  </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rsidR="0062371B" w:rsidRPr="0097249C" w:rsidRDefault="0062371B">
      <w:pPr>
        <w:ind w:left="720"/>
        <w:rPr>
          <w:rFonts w:ascii="Tahoma" w:hAnsi="Tahoma" w:cs="Tahoma"/>
          <w:i/>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spacing w:after="240"/>
        <w:ind w:left="720"/>
        <w:rPr>
          <w:rFonts w:ascii="Tahoma" w:hAnsi="Tahoma" w:cs="Tahoma"/>
          <w:sz w:val="20"/>
          <w:szCs w:val="20"/>
          <w:u w:val="single"/>
        </w:rPr>
      </w:pPr>
      <w:r w:rsidRPr="0097249C">
        <w:rPr>
          <w:rFonts w:ascii="Tahoma" w:hAnsi="Tahoma" w:cs="Tahoma"/>
          <w:i/>
          <w:sz w:val="20"/>
          <w:szCs w:val="20"/>
        </w:rPr>
        <w:t>Δ.2. Πρότυπο ΕΛΟΤ 1439 “Οργανισμός φιλικός σε πολίτες με αναπηρία –Απαιτήσεις και συστάσεις”</w:t>
      </w: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 (Ε) Πρόσβαση στα ηλεκτρονικά περιβάλλοντα</w:t>
      </w:r>
    </w:p>
    <w:p w:rsidR="0062371B" w:rsidRPr="0097249C" w:rsidRDefault="0062371B">
      <w:pPr>
        <w:ind w:left="720"/>
        <w:rPr>
          <w:rFonts w:ascii="Tahoma" w:hAnsi="Tahoma" w:cs="Tahoma"/>
          <w:i/>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rsidR="0062371B" w:rsidRPr="0097249C" w:rsidRDefault="0062371B">
      <w:pPr>
        <w:autoSpaceDE w:val="0"/>
        <w:ind w:left="720"/>
        <w:rPr>
          <w:rFonts w:ascii="Tahoma" w:eastAsia="Calibri" w:hAnsi="Tahoma" w:cs="Tahoma"/>
          <w:i/>
          <w:iCs/>
          <w:sz w:val="20"/>
          <w:szCs w:val="20"/>
        </w:rPr>
      </w:pPr>
      <w:r w:rsidRPr="0097249C">
        <w:rPr>
          <w:rFonts w:ascii="Tahoma" w:hAnsi="Tahoma" w:cs="Tahoma"/>
          <w:i/>
          <w:sz w:val="20"/>
          <w:szCs w:val="20"/>
        </w:rPr>
        <w:t xml:space="preserve">Ε.2. </w:t>
      </w:r>
      <w:r w:rsidRPr="0097249C">
        <w:rPr>
          <w:rFonts w:ascii="Tahoma" w:eastAsia="Calibri" w:hAnsi="Tahoma" w:cs="Tahoma"/>
          <w:i/>
          <w:sz w:val="20"/>
          <w:szCs w:val="20"/>
        </w:rPr>
        <w:t>N. 3979/2011 ΦΕΚ 138 Α’ “</w:t>
      </w:r>
      <w:r w:rsidRPr="0097249C">
        <w:rPr>
          <w:rFonts w:ascii="Tahoma" w:eastAsia="Calibri" w:hAnsi="Tahoma" w:cs="Tahoma"/>
          <w:i/>
          <w:iCs/>
          <w:sz w:val="20"/>
          <w:szCs w:val="20"/>
        </w:rPr>
        <w:t>Για την ηλεκτρονική διακυβέρνηση και λοιπές διατάξεις”</w:t>
      </w:r>
    </w:p>
    <w:p w:rsidR="0062371B" w:rsidRPr="0097249C" w:rsidRDefault="0062371B">
      <w:pPr>
        <w:autoSpaceDE w:val="0"/>
        <w:ind w:left="720"/>
        <w:rPr>
          <w:rFonts w:ascii="Tahoma" w:eastAsia="Calibri" w:hAnsi="Tahoma" w:cs="Tahoma"/>
          <w:i/>
          <w:iCs/>
          <w:color w:val="000000"/>
          <w:sz w:val="20"/>
          <w:szCs w:val="20"/>
        </w:rPr>
      </w:pPr>
      <w:r w:rsidRPr="0097249C">
        <w:rPr>
          <w:rFonts w:ascii="Tahoma" w:eastAsia="Calibri" w:hAnsi="Tahoma" w:cs="Tahoma"/>
          <w:i/>
          <w:iCs/>
          <w:sz w:val="20"/>
          <w:szCs w:val="20"/>
        </w:rPr>
        <w:t xml:space="preserve">Ε.3.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Ε.4. Οδηγίες για την Προσβασιμότητα του Περιεχομένου του Ιστού WCAG 2.0 (</w:t>
      </w:r>
      <w:hyperlink r:id="rId8" w:history="1">
        <w:r w:rsidRPr="0097249C">
          <w:rPr>
            <w:rStyle w:val="-"/>
            <w:rFonts w:ascii="Tahoma" w:eastAsia="Calibri" w:hAnsi="Tahoma" w:cs="Tahoma"/>
            <w:i/>
            <w:iCs/>
            <w:sz w:val="20"/>
            <w:szCs w:val="20"/>
          </w:rPr>
          <w:t>http://www.w3c.gr/wai/translations/wcag20.html</w:t>
        </w:r>
      </w:hyperlink>
      <w:r w:rsidRPr="0097249C">
        <w:rPr>
          <w:rFonts w:ascii="Tahoma" w:eastAsia="Calibri" w:hAnsi="Tahoma" w:cs="Tahoma"/>
          <w:i/>
          <w:iCs/>
          <w:sz w:val="20"/>
          <w:szCs w:val="20"/>
        </w:rPr>
        <w:t xml:space="preserve">)  </w:t>
      </w:r>
    </w:p>
    <w:p w:rsidR="0062371B"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lastRenderedPageBreak/>
        <w:t xml:space="preserve">Ε.5. Βέλτιστες Πρακτικές για Χρήση Διαδικτυακού Περιεχομένου από Κινητές Συσκευές, έκδοση 1.0 (http://www.w3.org/TR/mobile-bp/ - Αγγλικά) </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Ε.6. Οδηγίες Προσβασιμότητας για User Agents UAAG 2.0 (http://www.w3.org/TR/UAAG20/ - Αγγλικά)</w:t>
      </w:r>
    </w:p>
    <w:p w:rsidR="00D361BA" w:rsidRPr="0097249C" w:rsidRDefault="00D361BA" w:rsidP="007B45BF">
      <w:pPr>
        <w:autoSpaceDE w:val="0"/>
        <w:spacing w:after="240"/>
        <w:ind w:left="720"/>
        <w:rPr>
          <w:rFonts w:ascii="Tahoma" w:eastAsia="Calibri" w:hAnsi="Tahoma" w:cs="Tahoma"/>
          <w:i/>
          <w:iCs/>
          <w:sz w:val="20"/>
          <w:szCs w:val="20"/>
        </w:rPr>
      </w:pPr>
      <w:r w:rsidRPr="0097249C">
        <w:rPr>
          <w:rFonts w:ascii="Tahoma" w:eastAsia="Calibri" w:hAnsi="Tahoma" w:cs="Tahoma"/>
          <w:i/>
          <w:iCs/>
          <w:sz w:val="20"/>
          <w:szCs w:val="20"/>
        </w:rPr>
        <w:t>Ε.7. Οδηγίες Προσβασιμότητας για Συγγραφή Περιεχομένου Ιστού ΑΤAG 2.0 (http://www.w3.org/TR/ATAG20/ - Αγγλικά)</w:t>
      </w:r>
    </w:p>
    <w:p w:rsidR="0062371B" w:rsidRPr="0097249C" w:rsidRDefault="0062371B">
      <w:pPr>
        <w:autoSpaceDE w:val="0"/>
        <w:spacing w:after="240"/>
        <w:rPr>
          <w:rFonts w:ascii="Tahoma" w:hAnsi="Tahoma" w:cs="Tahoma"/>
          <w:i/>
          <w:color w:val="000000"/>
          <w:sz w:val="20"/>
          <w:szCs w:val="20"/>
        </w:rPr>
      </w:pPr>
    </w:p>
    <w:p w:rsidR="0062371B" w:rsidRPr="0097249C" w:rsidRDefault="0062371B">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1B3188">
        <w:rPr>
          <w:rFonts w:ascii="Tahoma" w:hAnsi="Tahoma" w:cs="Tahoma"/>
          <w:sz w:val="20"/>
          <w:szCs w:val="20"/>
          <w:u w:val="single"/>
        </w:rPr>
        <w:t>Π</w:t>
      </w:r>
      <w:r w:rsidRPr="0097249C">
        <w:rPr>
          <w:rFonts w:ascii="Tahoma" w:hAnsi="Tahoma" w:cs="Tahoma"/>
          <w:sz w:val="20"/>
          <w:szCs w:val="20"/>
          <w:u w:val="single"/>
        </w:rPr>
        <w:t>ληροφόρηση</w:t>
      </w:r>
    </w:p>
    <w:p w:rsidR="0062371B" w:rsidRPr="0097249C" w:rsidRDefault="0062371B">
      <w:pPr>
        <w:autoSpaceDE w:val="0"/>
        <w:ind w:left="720"/>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rsidR="0062371B" w:rsidRPr="0097249C" w:rsidRDefault="0062371B">
      <w:pPr>
        <w:autoSpaceDE w:val="0"/>
        <w:ind w:left="720"/>
        <w:rPr>
          <w:rFonts w:ascii="Tahoma" w:hAnsi="Tahoma" w:cs="Tahoma"/>
          <w:sz w:val="20"/>
          <w:szCs w:val="20"/>
        </w:rPr>
      </w:pPr>
    </w:p>
    <w:p w:rsidR="0062371B" w:rsidRPr="0097249C" w:rsidRDefault="0062371B">
      <w:pPr>
        <w:rPr>
          <w:rFonts w:ascii="Tahoma" w:hAnsi="Tahoma" w:cs="Tahoma"/>
          <w:sz w:val="20"/>
          <w:szCs w:val="20"/>
        </w:rPr>
      </w:pPr>
    </w:p>
    <w:p w:rsidR="0062371B" w:rsidRPr="0097249C" w:rsidRDefault="0062371B">
      <w:pPr>
        <w:rPr>
          <w:rFonts w:ascii="Tahoma" w:hAnsi="Tahoma" w:cs="Tahoma"/>
          <w:b/>
          <w:sz w:val="20"/>
          <w:szCs w:val="20"/>
        </w:rPr>
      </w:pPr>
    </w:p>
    <w:sectPr w:rsidR="0062371B" w:rsidRPr="0097249C" w:rsidSect="00BB553A">
      <w:footerReference w:type="default" r:id="rId9"/>
      <w:pgSz w:w="11906" w:h="16838"/>
      <w:pgMar w:top="1021" w:right="991" w:bottom="1247" w:left="993"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5CC" w:rsidRDefault="00B175CC">
      <w:pPr>
        <w:spacing w:before="0"/>
      </w:pPr>
      <w:r>
        <w:separator/>
      </w:r>
    </w:p>
  </w:endnote>
  <w:endnote w:type="continuationSeparator" w:id="0">
    <w:p w:rsidR="00B175CC" w:rsidRDefault="00B175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108"/>
      <w:gridCol w:w="3275"/>
      <w:gridCol w:w="2850"/>
      <w:gridCol w:w="2522"/>
      <w:gridCol w:w="1223"/>
      <w:gridCol w:w="53"/>
    </w:tblGrid>
    <w:tr w:rsidR="0062371B" w:rsidTr="00ED0E45">
      <w:trPr>
        <w:gridBefore w:val="1"/>
        <w:wBefore w:w="108" w:type="dxa"/>
      </w:trPr>
      <w:tc>
        <w:tcPr>
          <w:tcW w:w="8647" w:type="dxa"/>
          <w:gridSpan w:val="3"/>
          <w:shd w:val="clear" w:color="auto" w:fill="DDDDDD"/>
          <w:vAlign w:val="center"/>
        </w:tcPr>
        <w:p w:rsidR="0062371B" w:rsidRPr="00ED0E45" w:rsidRDefault="00BB553A">
          <w:pPr>
            <w:pStyle w:val="ab"/>
            <w:snapToGrid w:val="0"/>
            <w:rPr>
              <w:rFonts w:asciiTheme="minorHAnsi" w:hAnsiTheme="minorHAnsi" w:cstheme="minorHAnsi"/>
              <w:sz w:val="20"/>
              <w:szCs w:val="20"/>
              <w:lang w:val="el-GR"/>
            </w:rPr>
          </w:pPr>
          <w:r w:rsidRPr="00ED0E45">
            <w:rPr>
              <w:rFonts w:asciiTheme="minorHAnsi" w:hAnsiTheme="minorHAnsi" w:cstheme="minorHAnsi"/>
              <w:sz w:val="20"/>
              <w:szCs w:val="20"/>
              <w:lang w:val="el-GR"/>
            </w:rPr>
            <w:t>ΠΑΡΑΡΤΗΜΑ ΙΙ - Προσβασιμότητα ΑΜΕΑ</w:t>
          </w:r>
        </w:p>
      </w:tc>
      <w:tc>
        <w:tcPr>
          <w:tcW w:w="1276" w:type="dxa"/>
          <w:gridSpan w:val="2"/>
          <w:shd w:val="clear" w:color="auto" w:fill="990000"/>
        </w:tcPr>
        <w:p w:rsidR="0062371B" w:rsidRPr="00ED0E45" w:rsidRDefault="0062371B">
          <w:pPr>
            <w:pStyle w:val="ab"/>
            <w:jc w:val="center"/>
            <w:rPr>
              <w:rFonts w:asciiTheme="minorHAnsi" w:hAnsiTheme="minorHAnsi" w:cstheme="minorHAnsi"/>
              <w:b/>
              <w:sz w:val="20"/>
              <w:szCs w:val="20"/>
              <w:lang w:val="el-GR"/>
            </w:rPr>
          </w:pPr>
          <w:r w:rsidRPr="00ED0E45">
            <w:rPr>
              <w:rFonts w:asciiTheme="minorHAnsi" w:hAnsiTheme="minorHAnsi" w:cstheme="minorHAnsi"/>
              <w:b/>
              <w:sz w:val="20"/>
              <w:szCs w:val="20"/>
            </w:rPr>
            <w:fldChar w:fldCharType="begin"/>
          </w:r>
          <w:r w:rsidRPr="00ED0E45">
            <w:rPr>
              <w:rFonts w:asciiTheme="minorHAnsi" w:hAnsiTheme="minorHAnsi" w:cstheme="minorHAnsi"/>
              <w:b/>
              <w:sz w:val="20"/>
              <w:szCs w:val="20"/>
            </w:rPr>
            <w:instrText xml:space="preserve"> PAGE </w:instrText>
          </w:r>
          <w:r w:rsidRPr="00ED0E45">
            <w:rPr>
              <w:rFonts w:asciiTheme="minorHAnsi" w:hAnsiTheme="minorHAnsi" w:cstheme="minorHAnsi"/>
              <w:b/>
              <w:sz w:val="20"/>
              <w:szCs w:val="20"/>
            </w:rPr>
            <w:fldChar w:fldCharType="separate"/>
          </w:r>
          <w:r w:rsidR="001D72D9">
            <w:rPr>
              <w:rFonts w:asciiTheme="minorHAnsi" w:hAnsiTheme="minorHAnsi" w:cstheme="minorHAnsi"/>
              <w:b/>
              <w:noProof/>
              <w:sz w:val="20"/>
              <w:szCs w:val="20"/>
            </w:rPr>
            <w:t>1</w:t>
          </w:r>
          <w:r w:rsidRPr="00ED0E45">
            <w:rPr>
              <w:rFonts w:asciiTheme="minorHAnsi" w:hAnsiTheme="minorHAnsi" w:cstheme="minorHAnsi"/>
              <w:b/>
              <w:sz w:val="20"/>
              <w:szCs w:val="20"/>
            </w:rPr>
            <w:fldChar w:fldCharType="end"/>
          </w:r>
        </w:p>
      </w:tc>
    </w:tr>
    <w:tr w:rsidR="00597926" w:rsidRPr="00C54013" w:rsidTr="0059251D">
      <w:tblPrEx>
        <w:jc w:val="center"/>
        <w:tblBorders>
          <w:top w:val="single" w:sz="4" w:space="0" w:color="auto"/>
        </w:tblBorders>
        <w:tblLook w:val="01E0" w:firstRow="1" w:lastRow="1" w:firstColumn="1" w:lastColumn="1" w:noHBand="0" w:noVBand="0"/>
      </w:tblPrEx>
      <w:trPr>
        <w:gridAfter w:val="1"/>
        <w:wAfter w:w="53" w:type="dxa"/>
        <w:jc w:val="center"/>
      </w:trPr>
      <w:tc>
        <w:tcPr>
          <w:tcW w:w="3383" w:type="dxa"/>
          <w:gridSpan w:val="2"/>
          <w:shd w:val="clear" w:color="auto" w:fill="auto"/>
        </w:tcPr>
        <w:p w:rsidR="00381F61" w:rsidRDefault="00381F61" w:rsidP="00381F61">
          <w:pPr>
            <w:spacing w:before="60"/>
            <w:rPr>
              <w:rFonts w:ascii="Tahoma" w:hAnsi="Tahoma" w:cs="Tahoma"/>
              <w:bCs/>
              <w:sz w:val="16"/>
              <w:szCs w:val="16"/>
            </w:rPr>
          </w:pPr>
          <w:r>
            <w:rPr>
              <w:rFonts w:ascii="Tahoma" w:hAnsi="Tahoma" w:cs="Tahoma"/>
              <w:bCs/>
              <w:sz w:val="16"/>
              <w:szCs w:val="16"/>
            </w:rPr>
            <w:t>Οδηγός: Ο.Ι.1_1</w:t>
          </w:r>
        </w:p>
        <w:p w:rsidR="00381F61" w:rsidRDefault="00381F61" w:rsidP="00381F61">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rsidR="00597926" w:rsidRPr="00606468" w:rsidRDefault="00381F61" w:rsidP="004B3910">
          <w:pPr>
            <w:spacing w:before="0"/>
            <w:jc w:val="left"/>
            <w:rPr>
              <w:rFonts w:ascii="Tahoma" w:hAnsi="Tahoma" w:cs="Tahoma"/>
              <w:bCs/>
              <w:szCs w:val="20"/>
            </w:rPr>
          </w:pPr>
          <w:r>
            <w:rPr>
              <w:rFonts w:ascii="Tahoma" w:hAnsi="Tahoma" w:cs="Tahoma"/>
              <w:bCs/>
              <w:sz w:val="16"/>
              <w:szCs w:val="16"/>
            </w:rPr>
            <w:t xml:space="preserve">Ημ. Έκδοσης: </w:t>
          </w:r>
          <w:r w:rsidR="004B3910">
            <w:rPr>
              <w:rFonts w:ascii="Tahoma" w:hAnsi="Tahoma" w:cs="Tahoma"/>
              <w:bCs/>
              <w:sz w:val="16"/>
              <w:szCs w:val="16"/>
            </w:rPr>
            <w:t>30</w:t>
          </w:r>
          <w:r>
            <w:rPr>
              <w:rFonts w:ascii="Tahoma" w:hAnsi="Tahoma" w:cs="Tahoma"/>
              <w:bCs/>
              <w:sz w:val="16"/>
              <w:szCs w:val="16"/>
              <w:lang w:val="en-US"/>
            </w:rPr>
            <w:t>.</w:t>
          </w:r>
          <w:r w:rsidR="004B3910">
            <w:rPr>
              <w:rFonts w:ascii="Tahoma" w:hAnsi="Tahoma" w:cs="Tahoma"/>
              <w:bCs/>
              <w:sz w:val="16"/>
              <w:szCs w:val="16"/>
            </w:rPr>
            <w:t>10</w:t>
          </w:r>
          <w:r>
            <w:rPr>
              <w:rFonts w:ascii="Tahoma" w:hAnsi="Tahoma" w:cs="Tahoma"/>
              <w:bCs/>
              <w:sz w:val="16"/>
              <w:szCs w:val="16"/>
              <w:lang w:val="en-US"/>
            </w:rPr>
            <w:t>.2015</w:t>
          </w:r>
        </w:p>
      </w:tc>
      <w:tc>
        <w:tcPr>
          <w:tcW w:w="2850" w:type="dxa"/>
          <w:shd w:val="clear" w:color="auto" w:fill="auto"/>
          <w:vAlign w:val="center"/>
        </w:tcPr>
        <w:p w:rsidR="00597926" w:rsidRPr="002B3652" w:rsidRDefault="00597926" w:rsidP="00597926">
          <w:pPr>
            <w:spacing w:before="0"/>
            <w:rPr>
              <w:rFonts w:ascii="Tahoma" w:hAnsi="Tahoma" w:cs="Tahoma"/>
              <w:bCs/>
              <w:sz w:val="16"/>
              <w:szCs w:val="16"/>
              <w:lang w:val="en-US"/>
            </w:rPr>
          </w:pPr>
        </w:p>
      </w:tc>
      <w:tc>
        <w:tcPr>
          <w:tcW w:w="3745" w:type="dxa"/>
          <w:gridSpan w:val="2"/>
          <w:shd w:val="clear" w:color="auto" w:fill="auto"/>
          <w:vAlign w:val="center"/>
        </w:tcPr>
        <w:p w:rsidR="00597926" w:rsidRPr="00C54013" w:rsidRDefault="00381F61" w:rsidP="00381F61">
          <w:pPr>
            <w:spacing w:before="60"/>
            <w:jc w:val="right"/>
            <w:rPr>
              <w:rFonts w:ascii="Tahoma" w:hAnsi="Tahoma" w:cs="Tahoma"/>
              <w:bCs/>
              <w:szCs w:val="20"/>
            </w:rPr>
          </w:pPr>
          <w:r>
            <w:rPr>
              <w:rFonts w:ascii="Tahoma" w:hAnsi="Tahoma" w:cs="Tahoma"/>
              <w:bCs/>
              <w:noProof/>
              <w:szCs w:val="20"/>
              <w:lang w:eastAsia="el-GR"/>
            </w:rPr>
            <w:drawing>
              <wp:inline distT="0" distB="0" distL="0" distR="0" wp14:anchorId="1C8AD698" wp14:editId="155754F2">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5CC" w:rsidRDefault="00B175CC">
      <w:pPr>
        <w:spacing w:before="0"/>
      </w:pPr>
      <w:r>
        <w:separator/>
      </w:r>
    </w:p>
  </w:footnote>
  <w:footnote w:type="continuationSeparator" w:id="0">
    <w:p w:rsidR="00B175CC" w:rsidRDefault="00B175C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47"/>
    <w:rsid w:val="00026741"/>
    <w:rsid w:val="000355A8"/>
    <w:rsid w:val="000C10C9"/>
    <w:rsid w:val="001B3188"/>
    <w:rsid w:val="001D72D9"/>
    <w:rsid w:val="002B3652"/>
    <w:rsid w:val="002D53F1"/>
    <w:rsid w:val="00381F61"/>
    <w:rsid w:val="004B3910"/>
    <w:rsid w:val="0059251D"/>
    <w:rsid w:val="00597926"/>
    <w:rsid w:val="005C7287"/>
    <w:rsid w:val="00606468"/>
    <w:rsid w:val="0062371B"/>
    <w:rsid w:val="006A4DEC"/>
    <w:rsid w:val="006E2B42"/>
    <w:rsid w:val="007B45BF"/>
    <w:rsid w:val="0097249C"/>
    <w:rsid w:val="00A93B86"/>
    <w:rsid w:val="00B170DB"/>
    <w:rsid w:val="00B175CC"/>
    <w:rsid w:val="00BB553A"/>
    <w:rsid w:val="00C85F47"/>
    <w:rsid w:val="00C94DED"/>
    <w:rsid w:val="00CB5866"/>
    <w:rsid w:val="00D361BA"/>
    <w:rsid w:val="00E226EB"/>
    <w:rsid w:val="00ED0E45"/>
    <w:rsid w:val="00EE6574"/>
    <w:rsid w:val="00EF10D0"/>
    <w:rsid w:val="00FA7522"/>
    <w:rsid w:val="00FB4E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5:docId w15:val="{D8EE0DF4-471E-46AE-99E4-05DDE3EC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3c.gr/wai/translations/wcag20.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78DDA-0D54-44B1-9D4A-33D71BF1C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1614</Words>
  <Characters>8718</Characters>
  <Application>Microsoft Office Word</Application>
  <DocSecurity>0</DocSecurity>
  <Lines>72</Lines>
  <Paragraphs>20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10312</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ΨΑΡΡΟΥ ΣΤΑΥΡΟΥΛΑ - ΜΟΝ.Α</cp:lastModifiedBy>
  <cp:revision>2</cp:revision>
  <cp:lastPrinted>2015-04-30T07:56:00Z</cp:lastPrinted>
  <dcterms:created xsi:type="dcterms:W3CDTF">2021-02-19T12:59:00Z</dcterms:created>
  <dcterms:modified xsi:type="dcterms:W3CDTF">2021-02-19T12:59:00Z</dcterms:modified>
</cp:coreProperties>
</file>