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A4" w:rsidRPr="000877A4" w:rsidRDefault="000877A4" w:rsidP="000877A4">
      <w:pPr>
        <w:keepNext/>
        <w:keepLines/>
        <w:spacing w:before="120" w:after="0" w:line="240" w:lineRule="auto"/>
        <w:ind w:left="709" w:hanging="709"/>
        <w:jc w:val="both"/>
        <w:outlineLvl w:val="2"/>
        <w:rPr>
          <w:rFonts w:ascii="Calibri" w:eastAsia="Times New Roman" w:hAnsi="Calibri" w:cs="Calibri"/>
          <w:b/>
          <w:bCs/>
          <w:color w:val="5B9BD5"/>
          <w:sz w:val="20"/>
          <w:szCs w:val="20"/>
        </w:rPr>
      </w:pPr>
      <w:bookmarkStart w:id="0" w:name="_Toc519698204"/>
      <w:bookmarkStart w:id="1" w:name="_GoBack"/>
      <w:r w:rsidRPr="000877A4">
        <w:rPr>
          <w:rFonts w:ascii="Calibri" w:eastAsia="Times New Roman" w:hAnsi="Calibri" w:cs="Calibri"/>
          <w:b/>
          <w:bCs/>
          <w:color w:val="5B9BD5"/>
          <w:sz w:val="20"/>
          <w:szCs w:val="20"/>
        </w:rPr>
        <w:t>T4432</w:t>
      </w:r>
      <w:r w:rsidRPr="000877A4">
        <w:rPr>
          <w:rFonts w:ascii="Calibri" w:eastAsia="Times New Roman" w:hAnsi="Calibri" w:cs="Calibri"/>
          <w:b/>
          <w:bCs/>
          <w:color w:val="5B9BD5"/>
          <w:sz w:val="20"/>
          <w:szCs w:val="20"/>
        </w:rPr>
        <w:tab/>
        <w:t>Ετήσια Εξοικονόμηση Τελικής Ενέργειας</w:t>
      </w:r>
      <w:bookmarkEnd w:id="0"/>
    </w:p>
    <w:bookmarkEnd w:id="1"/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>Τρόπος υπολογισμού: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</w:rPr>
        <w:t xml:space="preserve">Η τιμή βάσης και στόχος του δείκτη υπολογίζεται σύμφωνα με τη μεθοδολογία που περιγράφεται στην έκθεση που υποβλήθηκε στην ΕΕ το Δεκέμβριο του 2013 βάσει του Άρθρου 7, Παράγραφος 9 της Οδηγίας 2012/27/ΕΕ. Η τιμή στόχος λαμβάνει υπόψη της επίσης τα </w:t>
      </w:r>
      <w:proofErr w:type="spellStart"/>
      <w:r w:rsidRPr="000877A4">
        <w:rPr>
          <w:rFonts w:ascii="Calibri" w:eastAsia="Calibri" w:hAnsi="Calibri" w:cs="Calibri"/>
          <w:sz w:val="20"/>
          <w:szCs w:val="20"/>
        </w:rPr>
        <w:t>επικαιροποιημένα</w:t>
      </w:r>
      <w:proofErr w:type="spellEnd"/>
      <w:r w:rsidRPr="000877A4">
        <w:rPr>
          <w:rFonts w:ascii="Calibri" w:eastAsia="Calibri" w:hAnsi="Calibri" w:cs="Calibri"/>
          <w:sz w:val="20"/>
          <w:szCs w:val="20"/>
        </w:rPr>
        <w:t xml:space="preserve"> στοιχεία της απόφασης «Έγκριση του Εθνικού Σχεδίου Δράσης Ενεργειακής Απόδοσης (ΕΣΔΕΑ) και της ετήσιας έκθεσης προόδου για την επίτευξη του εθνικού στόχου ενεργειακής απόδοσης, έτους 2017» (ΦΕΚ 1001/τ. Β’/21-3-2018). Ειδικότερα:</w:t>
      </w:r>
    </w:p>
    <w:p w:rsidR="000877A4" w:rsidRPr="000877A4" w:rsidRDefault="000877A4" w:rsidP="000877A4">
      <w:pPr>
        <w:spacing w:before="120" w:after="0"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</w:rPr>
        <w:t xml:space="preserve">Σύμφωνα με την «Έγκριση του Εθνικού Σχεδίου Δράσης Ενεργειακής Απόδοσης (ΕΣΔΕΑ) και της ετήσιας έκθεσης προόδου για την επίτευξη του εθνικού στόχου ενεργειακής απόδοσης, έτους 2017 (ΦΕΚ 1001/τ. Β’/21-3-2018), με βάση τα μέτρα πολιτικής τα οποία υλοποιήθηκαν κατά την  τριετία 2014-2016 καθώς και εκείνα που αναμένεται να υλοποιηθούν την περίοδο 2017-2020, στον ακόλουθο πίνακα αποτυπώνεται η υπολογιζόμενη τιμή της νέας εξοικονόμησης ενέργειας για τα επιμέρους έτη. Επίσης βάσει της υπολογιζόμενης ετήσιας εξοικονόμησης,  για τα έτη 2014  έως και 2020 , προκύπτει , η σωρευτική τιμή στόχος του δείκτη Τ4432 για το έτος 2023, ήτοι 902,1 </w:t>
      </w:r>
      <w:proofErr w:type="spellStart"/>
      <w:r w:rsidRPr="000877A4">
        <w:rPr>
          <w:rFonts w:ascii="Calibri" w:eastAsia="Calibri" w:hAnsi="Calibri" w:cs="Calibri"/>
          <w:sz w:val="20"/>
          <w:szCs w:val="20"/>
        </w:rPr>
        <w:t>ktoe</w:t>
      </w:r>
      <w:proofErr w:type="spellEnd"/>
      <w:r w:rsidRPr="000877A4">
        <w:rPr>
          <w:rFonts w:ascii="Calibri" w:eastAsia="Calibri" w:hAnsi="Calibri" w:cs="Calibri"/>
          <w:sz w:val="20"/>
          <w:szCs w:val="20"/>
        </w:rPr>
        <w:t>: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1-12"/>
        <w:tblW w:w="4358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746"/>
        <w:gridCol w:w="745"/>
        <w:gridCol w:w="863"/>
        <w:gridCol w:w="890"/>
        <w:gridCol w:w="838"/>
        <w:gridCol w:w="758"/>
        <w:gridCol w:w="866"/>
        <w:gridCol w:w="979"/>
      </w:tblGrid>
      <w:tr w:rsidR="000877A4" w:rsidRPr="000877A4" w:rsidTr="00EC6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2014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2015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200,40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2016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325,70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2017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451,00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2018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601,30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2019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1024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96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865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995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132" w:type="dxa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751,60</w:t>
            </w:r>
          </w:p>
        </w:tc>
      </w:tr>
      <w:tr w:rsidR="000877A4" w:rsidRPr="000877A4" w:rsidTr="00EC62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2020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100,2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125,3</w:t>
            </w:r>
          </w:p>
        </w:tc>
        <w:tc>
          <w:tcPr>
            <w:tcW w:w="962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865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995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150,3</w:t>
            </w:r>
          </w:p>
        </w:tc>
        <w:tc>
          <w:tcPr>
            <w:tcW w:w="1132" w:type="dxa"/>
            <w:shd w:val="clear" w:color="auto" w:fill="D9D9D9" w:themeFill="background1" w:themeFillShade="D9"/>
            <w:noWrap/>
            <w:hideMark/>
          </w:tcPr>
          <w:p w:rsidR="000877A4" w:rsidRPr="000877A4" w:rsidRDefault="000877A4" w:rsidP="000877A4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b/>
                <w:sz w:val="20"/>
                <w:szCs w:val="20"/>
              </w:rPr>
              <w:t>902,10</w:t>
            </w:r>
          </w:p>
        </w:tc>
      </w:tr>
    </w:tbl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i/>
          <w:sz w:val="20"/>
          <w:szCs w:val="20"/>
        </w:rPr>
      </w:pPr>
      <w:r w:rsidRPr="000877A4">
        <w:rPr>
          <w:rFonts w:ascii="Calibri" w:eastAsia="Times New Roman" w:hAnsi="Calibri" w:cs="Calibri"/>
          <w:i/>
          <w:sz w:val="20"/>
          <w:szCs w:val="20"/>
          <w:lang w:eastAsia="el-GR"/>
        </w:rPr>
        <w:t>Στόχος εξοικονόμησης ενέργειας κατά την περίοδο 2014-2020 (Άρθρο 7, παρ. 1 &amp; 2 της Οδηγίας 2012/27/ΕΕ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</w:rPr>
        <w:t xml:space="preserve"> Επομένως οι στόχοι του δείκτη, ανά κατηγορία Περιφέρειας, διαμορφώνονται αναλυτικά ως εξής:</w:t>
      </w:r>
    </w:p>
    <w:tbl>
      <w:tblPr>
        <w:tblStyle w:val="1"/>
        <w:tblW w:w="4828" w:type="pct"/>
        <w:tblLayout w:type="fixed"/>
        <w:tblLook w:val="00A0" w:firstRow="1" w:lastRow="0" w:firstColumn="1" w:lastColumn="0" w:noHBand="0" w:noVBand="0"/>
      </w:tblPr>
      <w:tblGrid>
        <w:gridCol w:w="822"/>
        <w:gridCol w:w="2121"/>
        <w:gridCol w:w="1045"/>
        <w:gridCol w:w="1567"/>
        <w:gridCol w:w="930"/>
        <w:gridCol w:w="890"/>
        <w:gridCol w:w="854"/>
      </w:tblGrid>
      <w:tr w:rsidR="000877A4" w:rsidRPr="000877A4" w:rsidTr="00EC623D">
        <w:trPr>
          <w:trHeight w:val="202"/>
        </w:trPr>
        <w:tc>
          <w:tcPr>
            <w:tcW w:w="499" w:type="pct"/>
          </w:tcPr>
          <w:p w:rsidR="000877A4" w:rsidRPr="000877A4" w:rsidRDefault="000877A4" w:rsidP="000877A4">
            <w:pPr>
              <w:tabs>
                <w:tab w:val="left" w:pos="720"/>
              </w:tabs>
              <w:spacing w:before="120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Κωδικός</w:t>
            </w:r>
          </w:p>
        </w:tc>
        <w:tc>
          <w:tcPr>
            <w:tcW w:w="1289" w:type="pct"/>
          </w:tcPr>
          <w:p w:rsidR="000877A4" w:rsidRPr="000877A4" w:rsidRDefault="000877A4" w:rsidP="000877A4">
            <w:pPr>
              <w:tabs>
                <w:tab w:val="left" w:pos="720"/>
              </w:tabs>
              <w:spacing w:before="12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Δείκτης</w:t>
            </w:r>
          </w:p>
        </w:tc>
        <w:tc>
          <w:tcPr>
            <w:tcW w:w="635" w:type="pct"/>
          </w:tcPr>
          <w:p w:rsidR="000877A4" w:rsidRPr="000877A4" w:rsidRDefault="000877A4" w:rsidP="000877A4">
            <w:pPr>
              <w:snapToGrid w:val="0"/>
              <w:spacing w:before="12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0877A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Μονάδα μέτρησης</w:t>
            </w:r>
          </w:p>
        </w:tc>
        <w:tc>
          <w:tcPr>
            <w:tcW w:w="952" w:type="pct"/>
          </w:tcPr>
          <w:p w:rsidR="000877A4" w:rsidRPr="000877A4" w:rsidRDefault="000877A4" w:rsidP="000877A4">
            <w:pPr>
              <w:tabs>
                <w:tab w:val="left" w:pos="720"/>
              </w:tabs>
              <w:spacing w:before="12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Κατηγορία περιφέρειας (κατά περίπτωση)</w:t>
            </w:r>
          </w:p>
        </w:tc>
        <w:tc>
          <w:tcPr>
            <w:tcW w:w="565" w:type="pct"/>
          </w:tcPr>
          <w:p w:rsidR="000877A4" w:rsidRPr="000877A4" w:rsidRDefault="000877A4" w:rsidP="000877A4">
            <w:pPr>
              <w:tabs>
                <w:tab w:val="left" w:pos="720"/>
              </w:tabs>
              <w:spacing w:before="12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541" w:type="pct"/>
          </w:tcPr>
          <w:p w:rsidR="000877A4" w:rsidRPr="000877A4" w:rsidRDefault="000877A4" w:rsidP="000877A4">
            <w:pPr>
              <w:snapToGrid w:val="0"/>
              <w:spacing w:before="120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0877A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Έτος βάσης</w:t>
            </w:r>
          </w:p>
        </w:tc>
        <w:tc>
          <w:tcPr>
            <w:tcW w:w="519" w:type="pct"/>
          </w:tcPr>
          <w:p w:rsidR="000877A4" w:rsidRPr="000877A4" w:rsidRDefault="000877A4" w:rsidP="000877A4">
            <w:pPr>
              <w:tabs>
                <w:tab w:val="left" w:pos="720"/>
              </w:tabs>
              <w:spacing w:before="12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Τιμή-στόχος (2023)</w:t>
            </w:r>
          </w:p>
        </w:tc>
      </w:tr>
      <w:tr w:rsidR="000877A4" w:rsidRPr="000877A4" w:rsidTr="00EC623D">
        <w:tc>
          <w:tcPr>
            <w:tcW w:w="499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eastAsia="el-GR"/>
              </w:rPr>
              <w:t>Τ4432</w:t>
            </w:r>
          </w:p>
        </w:tc>
        <w:tc>
          <w:tcPr>
            <w:tcW w:w="1289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eastAsia="el-GR"/>
              </w:rPr>
              <w:t>Ετήσια Εξοικονόμηση Τελικής Ενέργειας</w:t>
            </w:r>
          </w:p>
        </w:tc>
        <w:tc>
          <w:tcPr>
            <w:tcW w:w="635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0877A4">
              <w:rPr>
                <w:rFonts w:ascii="Calibri" w:eastAsia="Calibri" w:hAnsi="Calibri" w:cs="Calibri"/>
                <w:sz w:val="20"/>
                <w:szCs w:val="20"/>
              </w:rPr>
              <w:t>KTOe</w:t>
            </w:r>
            <w:proofErr w:type="spellEnd"/>
          </w:p>
        </w:tc>
        <w:tc>
          <w:tcPr>
            <w:tcW w:w="952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eastAsia="el-GR"/>
              </w:rPr>
              <w:t>Λιγότερο Ανεπτυγμένες</w:t>
            </w:r>
          </w:p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eastAsia="el-GR"/>
              </w:rPr>
              <w:t>Σε Μετάβαση</w:t>
            </w:r>
          </w:p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el-GR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eastAsia="el-GR"/>
              </w:rPr>
              <w:t>Περισσότερο Ανεπτυγμένες</w:t>
            </w:r>
          </w:p>
        </w:tc>
        <w:tc>
          <w:tcPr>
            <w:tcW w:w="565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val="en-US"/>
              </w:rPr>
              <w:t>57</w:t>
            </w:r>
            <w:r w:rsidRPr="000877A4"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 w:rsidRPr="000877A4">
              <w:rPr>
                <w:rFonts w:ascii="Calibri" w:eastAsia="Calibri" w:hAnsi="Calibri" w:cs="Calibri"/>
                <w:sz w:val="20"/>
                <w:szCs w:val="20"/>
                <w:lang w:val="en-US"/>
              </w:rPr>
              <w:t>99</w:t>
            </w:r>
          </w:p>
        </w:tc>
        <w:tc>
          <w:tcPr>
            <w:tcW w:w="541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  <w:lang w:val="en-US"/>
              </w:rPr>
              <w:t>201</w:t>
            </w:r>
            <w:r w:rsidRPr="000877A4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519" w:type="pct"/>
          </w:tcPr>
          <w:p w:rsidR="000877A4" w:rsidRPr="000877A4" w:rsidRDefault="000877A4" w:rsidP="000877A4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877A4">
              <w:rPr>
                <w:rFonts w:ascii="Calibri" w:eastAsia="Calibri" w:hAnsi="Calibri" w:cs="Calibri"/>
                <w:sz w:val="20"/>
                <w:szCs w:val="20"/>
              </w:rPr>
              <w:t>902,1</w:t>
            </w:r>
          </w:p>
        </w:tc>
      </w:tr>
    </w:tbl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>Μονάδα μέτρησης:</w:t>
      </w:r>
      <w:r w:rsidRPr="000877A4">
        <w:rPr>
          <w:rFonts w:ascii="Calibri" w:eastAsia="Calibri" w:hAnsi="Calibri" w:cs="Calibri"/>
          <w:sz w:val="20"/>
          <w:szCs w:val="20"/>
        </w:rPr>
        <w:t xml:space="preserve"> 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  <w:lang w:val="en-US"/>
        </w:rPr>
        <w:t>T</w:t>
      </w:r>
      <w:r w:rsidRPr="000877A4">
        <w:rPr>
          <w:rFonts w:ascii="Calibri" w:eastAsia="Calibri" w:hAnsi="Calibri" w:cs="Calibri"/>
          <w:sz w:val="20"/>
          <w:szCs w:val="20"/>
        </w:rPr>
        <w:t>όνος ισοδύναμου πετρελαίου (</w:t>
      </w:r>
      <w:proofErr w:type="spellStart"/>
      <w:r w:rsidRPr="000877A4">
        <w:rPr>
          <w:rFonts w:ascii="Calibri" w:eastAsia="Calibri" w:hAnsi="Calibri" w:cs="Calibri"/>
          <w:sz w:val="20"/>
          <w:szCs w:val="20"/>
        </w:rPr>
        <w:t>KTOe</w:t>
      </w:r>
      <w:proofErr w:type="spellEnd"/>
      <w:r w:rsidRPr="000877A4">
        <w:rPr>
          <w:rFonts w:ascii="Calibri" w:eastAsia="Calibri" w:hAnsi="Calibri" w:cs="Calibri"/>
          <w:sz w:val="20"/>
          <w:szCs w:val="20"/>
        </w:rPr>
        <w:t>)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>Πηγή στοιχείων:</w:t>
      </w:r>
      <w:r w:rsidRPr="000877A4">
        <w:rPr>
          <w:rFonts w:ascii="Calibri" w:eastAsia="Calibri" w:hAnsi="Calibri" w:cs="Calibri"/>
          <w:sz w:val="20"/>
          <w:szCs w:val="20"/>
        </w:rPr>
        <w:t xml:space="preserve">  ΕΣΔΕΑ (Μέτρα Πολιτικής του Άρθρου 7 της Οδηγίας 2012/27/ΕΕ), Τεχνικό Δελτίο Έργου, Δελτίο Επίτευξης Δεικτών.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>Συχνότητα εκθέσεων:</w:t>
      </w:r>
      <w:r w:rsidRPr="000877A4">
        <w:rPr>
          <w:rFonts w:ascii="Calibri" w:eastAsia="Calibri" w:hAnsi="Calibri" w:cs="Calibri"/>
          <w:sz w:val="20"/>
          <w:szCs w:val="20"/>
        </w:rPr>
        <w:t xml:space="preserve"> Τριετής (Η έκθεση υποβάλλεται στο πλαίσιο του Εθνικού Σχεδίου Δράσης για την Ενεργειακή Απόδοση). Πέραν  του ΕΣΔΕΑ, λαμβάνονται </w:t>
      </w:r>
      <w:proofErr w:type="spellStart"/>
      <w:r w:rsidRPr="000877A4">
        <w:rPr>
          <w:rFonts w:ascii="Calibri" w:eastAsia="Calibri" w:hAnsi="Calibri" w:cs="Calibri"/>
          <w:sz w:val="20"/>
          <w:szCs w:val="20"/>
        </w:rPr>
        <w:t>υπόψιν</w:t>
      </w:r>
      <w:proofErr w:type="spellEnd"/>
      <w:r w:rsidRPr="000877A4">
        <w:rPr>
          <w:rFonts w:ascii="Calibri" w:eastAsia="Calibri" w:hAnsi="Calibri" w:cs="Calibri"/>
          <w:sz w:val="20"/>
          <w:szCs w:val="20"/>
        </w:rPr>
        <w:t xml:space="preserve"> οι εκθέσεις προόδου για την επίτευξη του στόχου του άρθρου 7, της Οδηγίας 27/2012, οι οποίες αφορούν την εξοικονόμηση ενέργειας σε κάθε έτος (όχι σωρευτική).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 xml:space="preserve">Παρακολούθηση – Ταυτοποίηση: </w:t>
      </w:r>
      <w:r w:rsidRPr="000877A4">
        <w:rPr>
          <w:rFonts w:ascii="Calibri" w:eastAsia="Calibri" w:hAnsi="Calibri" w:cs="Calibri"/>
          <w:sz w:val="20"/>
          <w:szCs w:val="20"/>
        </w:rPr>
        <w:t>‐ Εθνικό Σχέδιο Δράσης για την Ενεργειακή Απόδοση (ΕΣΔΕΑ).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0877A4">
        <w:rPr>
          <w:rFonts w:ascii="Calibri" w:eastAsia="Calibri" w:hAnsi="Calibri" w:cs="Calibri"/>
          <w:sz w:val="20"/>
          <w:szCs w:val="20"/>
        </w:rPr>
        <w:lastRenderedPageBreak/>
        <w:t>Η παρακολούθηση της ετήσιας εξοικονόμησης τελικής ενέργειας παρακολουθείται σε εθνικό επίπεδο από την Ετήσια Έκθεση Προόδου (ετήσια – Άρθρο 24, παρ. 1 της Οδηγίας 2012/27/ΕΕ) και τα Εθνικά Σχέδια Δράσης Ενεργειακής Απόδοσης (ανά τριετία – Άρθρο 24, παρ. 2 της Οδηγίας 2012/27/ΕΕ (</w:t>
      </w:r>
      <w:hyperlink r:id="rId5" w:history="1">
        <w:r w:rsidRPr="000877A4">
          <w:rPr>
            <w:rFonts w:ascii="Calibri" w:eastAsia="Calibri" w:hAnsi="Calibri" w:cs="Calibri"/>
            <w:color w:val="0563C1"/>
            <w:sz w:val="20"/>
            <w:szCs w:val="20"/>
            <w:u w:val="single"/>
          </w:rPr>
          <w:t>http://ec.europa.eu/energy/efficiency/eed/reporting_en.htm</w:t>
        </w:r>
      </w:hyperlink>
      <w:r w:rsidRPr="000877A4">
        <w:rPr>
          <w:rFonts w:ascii="Calibri" w:eastAsia="Calibri" w:hAnsi="Calibri" w:cs="Calibri"/>
          <w:sz w:val="20"/>
          <w:szCs w:val="20"/>
        </w:rPr>
        <w:t xml:space="preserve"> ).</w:t>
      </w:r>
    </w:p>
    <w:p w:rsidR="000877A4" w:rsidRPr="000877A4" w:rsidRDefault="000877A4" w:rsidP="000877A4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877A4">
        <w:rPr>
          <w:rFonts w:ascii="Calibri" w:eastAsia="Calibri" w:hAnsi="Calibri" w:cs="Calibri"/>
          <w:sz w:val="20"/>
          <w:szCs w:val="20"/>
          <w:u w:val="single"/>
        </w:rPr>
        <w:t>Σχόλια – Παρατηρήσεις:</w:t>
      </w:r>
    </w:p>
    <w:p w:rsidR="00302E14" w:rsidRDefault="000877A4" w:rsidP="000877A4">
      <w:r w:rsidRPr="000877A4">
        <w:rPr>
          <w:rFonts w:ascii="Calibri" w:eastAsia="Calibri" w:hAnsi="Calibri" w:cs="Calibri"/>
          <w:sz w:val="20"/>
          <w:szCs w:val="20"/>
        </w:rPr>
        <w:t>Δεν υπάρχουν ειδικά σχόλια ή παρατηρήσεις</w:t>
      </w:r>
    </w:p>
    <w:sectPr w:rsidR="00302E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A4"/>
    <w:rsid w:val="000877A4"/>
    <w:rsid w:val="0030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-12">
    <w:name w:val="Πίνακας 1 με ανοιχτόχρωμο πλέγμα - Έμφαση 12"/>
    <w:basedOn w:val="a1"/>
    <w:uiPriority w:val="46"/>
    <w:rsid w:val="000877A4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">
    <w:name w:val="Ανοιχτόχρωμο πλέγμα πίνακα1"/>
    <w:basedOn w:val="a1"/>
    <w:uiPriority w:val="40"/>
    <w:rsid w:val="000877A4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-12">
    <w:name w:val="Πίνακας 1 με ανοιχτόχρωμο πλέγμα - Έμφαση 12"/>
    <w:basedOn w:val="a1"/>
    <w:uiPriority w:val="46"/>
    <w:rsid w:val="000877A4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">
    <w:name w:val="Ανοιχτόχρωμο πλέγμα πίνακα1"/>
    <w:basedOn w:val="a1"/>
    <w:uiPriority w:val="40"/>
    <w:rsid w:val="000877A4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.europa.eu/energy/efficiency/eed/reporting_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Filenia Dendri</dc:creator>
  <cp:lastModifiedBy>Filenia Dendri</cp:lastModifiedBy>
  <cp:revision>1</cp:revision>
  <dcterms:created xsi:type="dcterms:W3CDTF">2018-09-28T09:30:00Z</dcterms:created>
  <dcterms:modified xsi:type="dcterms:W3CDTF">2018-09-28T09:31:00Z</dcterms:modified>
</cp:coreProperties>
</file>